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-738"/>
        <w:jc w:val="center"/>
        <w:rPr>
          <w:rFonts w:ascii="Century Gothic" w:cs="Century Gothic" w:eastAsia="Century Gothic" w:hAnsi="Century Gothic"/>
          <w:b w:val="1"/>
          <w:color w:val="00ffcc"/>
          <w:sz w:val="36"/>
          <w:szCs w:val="36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00ffcc"/>
          <w:sz w:val="36"/>
          <w:szCs w:val="36"/>
          <w:rtl w:val="0"/>
        </w:rPr>
        <w:t xml:space="preserve">PUNTA CANA CON 2025</w:t>
      </w:r>
    </w:p>
    <w:p w:rsidR="00000000" w:rsidDel="00000000" w:rsidP="00000000" w:rsidRDefault="00000000" w:rsidRPr="00000000" w14:paraId="00000002">
      <w:pPr>
        <w:rPr>
          <w:rFonts w:ascii="Century Gothic" w:cs="Century Gothic" w:eastAsia="Century Gothic" w:hAnsi="Century Gothic"/>
          <w:b w:val="1"/>
          <w:sz w:val="16"/>
          <w:szCs w:val="16"/>
          <w:u w:val="singl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u w:val="single"/>
          <w:rtl w:val="0"/>
        </w:rPr>
        <w:t xml:space="preserve">INCLUYE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Traslado aeropuerto-Hotel-Aeropuerto desde Punta Cana.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03 noches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 alojamiento en el hotel seleccionado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5450205</wp:posOffset>
            </wp:positionH>
            <wp:positionV relativeFrom="paragraph">
              <wp:posOffset>17780</wp:posOffset>
            </wp:positionV>
            <wp:extent cx="1125141" cy="600075"/>
            <wp:effectExtent b="0" l="0" r="0" t="0"/>
            <wp:wrapNone/>
            <wp:docPr id="205357310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25141" cy="6000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Sistema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TODO INCLUIDO 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24 horas es decir Desayunos, almuerzos y cenas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Diversión, Entretenimiento, Alimentos y Bebida ilimitados, Restaurantes de especialidades sin reserva previa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Minibar con dispensador de licores en la habitación incluido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Actividades náuticas no motorizadas incluidas, Piscina, Spa (zonas húmedas) y Gimnasio incluidos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Asitencia medica durante la estadia con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(Cobertura 15.000)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firstLine="0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2495fc"/>
          <w:sz w:val="18"/>
          <w:szCs w:val="18"/>
          <w:u w:val="singl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2495fc"/>
          <w:sz w:val="18"/>
          <w:szCs w:val="18"/>
          <w:u w:val="single"/>
          <w:shd w:fill="auto" w:val="clear"/>
          <w:vertAlign w:val="baseline"/>
          <w:rtl w:val="0"/>
        </w:rPr>
        <w:t xml:space="preserve">CORTESIA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City tours bavaro con degustación y shopping tours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Visita a la zona de bares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Visita al casino hotel HARD ROCK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142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Agua enel transcurso de los traslados para los clientes</w:t>
      </w:r>
    </w:p>
    <w:p w:rsidR="00000000" w:rsidDel="00000000" w:rsidP="00000000" w:rsidRDefault="00000000" w:rsidRPr="00000000" w14:paraId="0000000F">
      <w:pPr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PRECIO POR PERSONA EN USD</w:t>
      </w:r>
    </w:p>
    <w:p w:rsidR="00000000" w:rsidDel="00000000" w:rsidP="00000000" w:rsidRDefault="00000000" w:rsidRPr="00000000" w14:paraId="00000010">
      <w:pPr>
        <w:jc w:val="center"/>
        <w:rPr>
          <w:rFonts w:ascii="Century Gothic" w:cs="Century Gothic" w:eastAsia="Century Gothic" w:hAnsi="Century Gothic"/>
          <w:b w:val="1"/>
          <w:sz w:val="14"/>
          <w:szCs w:val="14"/>
        </w:rPr>
      </w:pPr>
      <w:bookmarkStart w:colFirst="0" w:colLast="0" w:name="_heading=h.30j0zll" w:id="1"/>
      <w:bookmarkEnd w:id="1"/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highlight w:val="yellow"/>
          <w:rtl w:val="0"/>
        </w:rPr>
        <w:t xml:space="preserve">Land tour: </w:t>
      </w: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highlight w:val="yellow"/>
          <w:rtl w:val="0"/>
        </w:rPr>
        <w:t xml:space="preserve">Compra hasta</w:t>
      </w:r>
      <w:r w:rsidDel="00000000" w:rsidR="00000000" w:rsidRPr="00000000">
        <w:rPr>
          <w:rFonts w:ascii="Century Gothic" w:cs="Century Gothic" w:eastAsia="Century Gothic" w:hAnsi="Century Gothic"/>
          <w:b w:val="1"/>
          <w:sz w:val="16"/>
          <w:szCs w:val="16"/>
          <w:highlight w:val="yellow"/>
          <w:rtl w:val="0"/>
        </w:rPr>
        <w:t xml:space="preserve"> 31/03/2025</w:t>
      </w:r>
      <w:r w:rsidDel="00000000" w:rsidR="00000000" w:rsidRPr="00000000">
        <w:rPr>
          <w:rtl w:val="0"/>
        </w:rPr>
      </w:r>
    </w:p>
    <w:tbl>
      <w:tblPr>
        <w:tblStyle w:val="Table1"/>
        <w:tblW w:w="10873.0" w:type="dxa"/>
        <w:jc w:val="center"/>
        <w:tblBorders>
          <w:top w:color="70ad47" w:space="0" w:sz="24" w:val="single"/>
          <w:left w:color="70ad47" w:space="0" w:sz="24" w:val="single"/>
          <w:bottom w:color="70ad47" w:space="0" w:sz="24" w:val="single"/>
          <w:right w:color="70ad47" w:space="0" w:sz="24" w:val="single"/>
          <w:insideH w:color="4472c4" w:space="0" w:sz="4" w:val="single"/>
          <w:insideV w:color="4472c4" w:space="0" w:sz="4" w:val="single"/>
        </w:tblBorders>
        <w:tblLayout w:type="fixed"/>
        <w:tblLook w:val="00A0"/>
      </w:tblPr>
      <w:tblGrid>
        <w:gridCol w:w="1555"/>
        <w:gridCol w:w="1701"/>
        <w:gridCol w:w="2126"/>
        <w:gridCol w:w="709"/>
        <w:gridCol w:w="708"/>
        <w:gridCol w:w="709"/>
        <w:gridCol w:w="709"/>
        <w:gridCol w:w="709"/>
        <w:gridCol w:w="708"/>
        <w:gridCol w:w="575"/>
        <w:gridCol w:w="664"/>
        <w:tblGridChange w:id="0">
          <w:tblGrid>
            <w:gridCol w:w="1555"/>
            <w:gridCol w:w="1701"/>
            <w:gridCol w:w="2126"/>
            <w:gridCol w:w="709"/>
            <w:gridCol w:w="708"/>
            <w:gridCol w:w="709"/>
            <w:gridCol w:w="709"/>
            <w:gridCol w:w="709"/>
            <w:gridCol w:w="708"/>
            <w:gridCol w:w="575"/>
            <w:gridCol w:w="664"/>
          </w:tblGrid>
        </w:tblGridChange>
      </w:tblGrid>
      <w:tr>
        <w:trPr>
          <w:cantSplit w:val="0"/>
          <w:trHeight w:val="116" w:hRule="atLeast"/>
          <w:tblHeader w:val="0"/>
        </w:trPr>
        <w:tc>
          <w:tcPr>
            <w:gridSpan w:val="11"/>
            <w:tcBorders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PRECIO CON TARIFA REGULAR LAND TOUR </w:t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16"/>
                <w:szCs w:val="16"/>
                <w:rtl w:val="0"/>
              </w:rPr>
              <w:t xml:space="preserve">HOTEL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TIPO HAB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VIGENCIA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PLAN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NOCHE ADICIONAL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shd w:fill="4472c4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SGL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DBL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TPL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CHD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SGL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DBL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TPL</w:t>
            </w:r>
          </w:p>
        </w:tc>
        <w:tc>
          <w:tcPr>
            <w:shd w:fill="4472c4" w:val="clear"/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CHD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RIU BAMBÚ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DBL Standard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262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94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99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75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01/05/2025 – 31/05/2025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74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Habitacion Deluxe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664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96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101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78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01/05/2025 – 31/05/2025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748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77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Century Gothic" w:cs="Century Gothic" w:eastAsia="Century Gothic" w:hAnsi="Century Gothic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RIU PALACE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PUNTA CANA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Junior Suite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734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118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1137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124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103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Junior Suite Superior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1124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122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128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107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0000"/>
                <w:sz w:val="18"/>
                <w:szCs w:val="18"/>
                <w:rtl w:val="0"/>
              </w:rPr>
              <w:t xml:space="preserve">RIU REPÚBLICA*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DBL Estándar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642</w:t>
            </w:r>
          </w:p>
        </w:tc>
        <w:tc>
          <w:tcPr/>
          <w:p w:rsidR="00000000" w:rsidDel="00000000" w:rsidP="00000000" w:rsidRDefault="00000000" w:rsidRPr="00000000" w14:paraId="000000D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527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504</w:t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DBL Estándar Courtyard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977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659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630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657</w:t>
            </w:r>
          </w:p>
        </w:tc>
        <w:tc>
          <w:tcPr/>
          <w:p w:rsidR="00000000" w:rsidDel="00000000" w:rsidP="00000000" w:rsidRDefault="00000000" w:rsidRPr="00000000" w14:paraId="000000F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519</w:t>
            </w:r>
          </w:p>
        </w:tc>
        <w:tc>
          <w:tcPr/>
          <w:p w:rsidR="00000000" w:rsidDel="00000000" w:rsidP="00000000" w:rsidRDefault="00000000" w:rsidRPr="00000000" w14:paraId="0000010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158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0000"/>
                <w:sz w:val="18"/>
                <w:szCs w:val="18"/>
                <w:rtl w:val="0"/>
              </w:rPr>
              <w:t xml:space="preserve">RIU PALACE MACAO*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Junior Suite Vista Jardín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1152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744</w:t>
            </w:r>
          </w:p>
        </w:tc>
        <w:tc>
          <w:tcPr/>
          <w:p w:rsidR="00000000" w:rsidDel="00000000" w:rsidP="00000000" w:rsidRDefault="00000000" w:rsidRPr="00000000" w14:paraId="0000011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1194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809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771</w:t>
            </w:r>
          </w:p>
        </w:tc>
        <w:tc>
          <w:tcPr/>
          <w:p w:rsidR="00000000" w:rsidDel="00000000" w:rsidP="00000000" w:rsidRDefault="00000000" w:rsidRPr="00000000" w14:paraId="0000012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Junior Suite Superior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1200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776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244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1243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384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267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254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1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– 30/04/2025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681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151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73.0" w:type="dxa"/>
        <w:jc w:val="center"/>
        <w:tblBorders>
          <w:top w:color="70ad47" w:space="0" w:sz="4" w:val="single"/>
          <w:left w:color="70ad47" w:space="0" w:sz="4" w:val="single"/>
          <w:bottom w:color="70ad47" w:space="0" w:sz="4" w:val="single"/>
          <w:right w:color="70ad47" w:space="0" w:sz="4" w:val="single"/>
          <w:insideH w:color="70ad47" w:space="0" w:sz="4" w:val="single"/>
          <w:insideV w:color="70ad47" w:space="0" w:sz="4" w:val="single"/>
        </w:tblBorders>
        <w:tblLayout w:type="fixed"/>
        <w:tblLook w:val="00A0"/>
      </w:tblPr>
      <w:tblGrid>
        <w:gridCol w:w="1555"/>
        <w:gridCol w:w="1701"/>
        <w:gridCol w:w="2126"/>
        <w:gridCol w:w="709"/>
        <w:gridCol w:w="708"/>
        <w:gridCol w:w="709"/>
        <w:gridCol w:w="709"/>
        <w:gridCol w:w="709"/>
        <w:gridCol w:w="708"/>
        <w:gridCol w:w="575"/>
        <w:gridCol w:w="664"/>
        <w:tblGridChange w:id="0">
          <w:tblGrid>
            <w:gridCol w:w="1555"/>
            <w:gridCol w:w="1701"/>
            <w:gridCol w:w="2126"/>
            <w:gridCol w:w="709"/>
            <w:gridCol w:w="708"/>
            <w:gridCol w:w="709"/>
            <w:gridCol w:w="709"/>
            <w:gridCol w:w="709"/>
            <w:gridCol w:w="708"/>
            <w:gridCol w:w="575"/>
            <w:gridCol w:w="664"/>
          </w:tblGrid>
        </w:tblGridChange>
      </w:tblGrid>
      <w:tr>
        <w:trPr>
          <w:cantSplit w:val="0"/>
          <w:trHeight w:val="116" w:hRule="atLeast"/>
          <w:tblHeader w:val="0"/>
        </w:trPr>
        <w:tc>
          <w:tcPr>
            <w:gridSpan w:val="11"/>
            <w:tcBorders>
              <w:bottom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5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6"/>
                <w:szCs w:val="16"/>
                <w:rtl w:val="0"/>
              </w:rPr>
              <w:t xml:space="preserve">PRECIO CON DESCUENTO EN EFECTIVO LAND TOUR </w:t>
            </w:r>
          </w:p>
        </w:tc>
      </w:tr>
      <w:tr>
        <w:trPr>
          <w:cantSplit w:val="0"/>
          <w:trHeight w:val="116" w:hRule="atLeast"/>
          <w:tblHeader w:val="0"/>
        </w:trPr>
        <w:tc>
          <w:tcPr>
            <w:vMerge w:val="restart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5D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ffff"/>
                <w:sz w:val="16"/>
                <w:szCs w:val="16"/>
                <w:rtl w:val="0"/>
              </w:rPr>
              <w:t xml:space="preserve">HOTEL</w:t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5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TIPO HAB</w:t>
            </w:r>
          </w:p>
        </w:tc>
        <w:tc>
          <w:tcPr>
            <w:vMerge w:val="restart"/>
            <w:tcBorders>
              <w:top w:color="000000" w:space="0" w:sz="0" w:val="nil"/>
              <w:bottom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5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VIGENCIA</w:t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60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PLAN</w:t>
            </w:r>
          </w:p>
        </w:tc>
        <w:tc>
          <w:tcPr>
            <w:gridSpan w:val="4"/>
            <w:tcBorders>
              <w:top w:color="000000" w:space="0" w:sz="0" w:val="nil"/>
              <w:bottom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64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NOCHE ADICIONAL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bottom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6B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SGL</w:t>
            </w:r>
          </w:p>
        </w:tc>
        <w:tc>
          <w:tcPr>
            <w:shd w:fill="70ad47" w:val="clear"/>
            <w:vAlign w:val="center"/>
          </w:tcPr>
          <w:p w:rsidR="00000000" w:rsidDel="00000000" w:rsidP="00000000" w:rsidRDefault="00000000" w:rsidRPr="00000000" w14:paraId="0000016C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DBL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6D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TPL</w:t>
            </w:r>
          </w:p>
        </w:tc>
        <w:tc>
          <w:tcPr>
            <w:shd w:fill="70ad47" w:val="clear"/>
            <w:vAlign w:val="center"/>
          </w:tcPr>
          <w:p w:rsidR="00000000" w:rsidDel="00000000" w:rsidP="00000000" w:rsidRDefault="00000000" w:rsidRPr="00000000" w14:paraId="0000016E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CHD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6F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SGL</w:t>
            </w:r>
          </w:p>
        </w:tc>
        <w:tc>
          <w:tcPr>
            <w:shd w:fill="70ad47" w:val="clear"/>
            <w:vAlign w:val="center"/>
          </w:tcPr>
          <w:p w:rsidR="00000000" w:rsidDel="00000000" w:rsidP="00000000" w:rsidRDefault="00000000" w:rsidRPr="00000000" w14:paraId="00000170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DBL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70ad47" w:val="clear"/>
            <w:vAlign w:val="center"/>
          </w:tcPr>
          <w:p w:rsidR="00000000" w:rsidDel="00000000" w:rsidP="00000000" w:rsidRDefault="00000000" w:rsidRPr="00000000" w14:paraId="00000171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TPL</w:t>
            </w:r>
          </w:p>
        </w:tc>
        <w:tc>
          <w:tcPr>
            <w:shd w:fill="70ad47" w:val="clear"/>
            <w:vAlign w:val="center"/>
          </w:tcPr>
          <w:p w:rsidR="00000000" w:rsidDel="00000000" w:rsidP="00000000" w:rsidRDefault="00000000" w:rsidRPr="00000000" w14:paraId="00000172">
            <w:pPr>
              <w:spacing w:line="276" w:lineRule="auto"/>
              <w:jc w:val="center"/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ffffff"/>
                <w:sz w:val="16"/>
                <w:szCs w:val="16"/>
                <w:rtl w:val="0"/>
              </w:rPr>
              <w:t xml:space="preserve">CHD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RIU BAMBÚ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DBL Standard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891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574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332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243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169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161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87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596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344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257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179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170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92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492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471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277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135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128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70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01/05/2025 – 31/05/2025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669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448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429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255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A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Habitacion Deluxe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915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589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250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174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166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90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950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612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352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264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174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94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758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509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487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286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72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01/05/2025 – 31/05/2025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695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466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446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264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>
                <w:rFonts w:ascii="Century Gothic" w:cs="Century Gothic" w:eastAsia="Century Gothic" w:hAnsi="Century Gothic"/>
                <w:b w:val="0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RIU PALACE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  <w:rtl w:val="0"/>
              </w:rPr>
              <w:t xml:space="preserve">PUNTA CANA</w:t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1C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Junior Suite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683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652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373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308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109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1058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716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683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389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D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324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D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115</w:t>
            </w:r>
          </w:p>
        </w:tc>
      </w:tr>
      <w:tr>
        <w:trPr>
          <w:cantSplit w:val="0"/>
          <w:trHeight w:val="94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1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892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602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575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332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268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287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178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96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Junior Suite Superior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1045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707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675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385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320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114</w:t>
            </w:r>
          </w:p>
        </w:tc>
      </w:tr>
      <w:tr>
        <w:trPr>
          <w:cantSplit w:val="0"/>
          <w:trHeight w:val="15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1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1093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706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401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336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119</w:t>
            </w:r>
          </w:p>
        </w:tc>
      </w:tr>
      <w:tr>
        <w:trPr>
          <w:cantSplit w:val="0"/>
          <w:trHeight w:val="8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626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598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344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280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0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0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100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0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0000"/>
                <w:sz w:val="18"/>
                <w:szCs w:val="18"/>
                <w:rtl w:val="0"/>
              </w:rPr>
              <w:t xml:space="preserve">RIU REPÚBLICA*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DBL Estándar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888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598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572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267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177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927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626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598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280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2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731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490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469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149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142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2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DBL Estándar Courtyard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1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909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613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585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6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274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191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3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C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948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640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3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611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1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287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752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505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482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C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4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154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4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146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4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25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ff0000"/>
                <w:sz w:val="18"/>
                <w:szCs w:val="18"/>
                <w:rtl w:val="0"/>
              </w:rPr>
              <w:t xml:space="preserve">RIU PALACE MACAO*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fffff" w:val="clear"/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Junior Suite Vista Jardín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1071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692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329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217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5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1110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752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717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342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237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6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6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  <w:vAlign w:val="center"/>
          </w:tcPr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936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632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603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283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187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8"/>
                <w:szCs w:val="18"/>
                <w:rtl w:val="0"/>
              </w:rPr>
              <w:t xml:space="preserve">Junior Suite Superior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02/01/2025 - 31/01/2025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1116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756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721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344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239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227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7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139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01/02/2025 - 31/03/2025   13/04/2025 - 19/04/2025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7F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1156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0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783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747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2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357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4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248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5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236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86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01/04/2025 - 12/04/2025   20/04/2025 - 30/04/2025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A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981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663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633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298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207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ffffff" w:val="clear"/>
            <w:vAlign w:val="center"/>
          </w:tcPr>
          <w:p w:rsidR="00000000" w:rsidDel="00000000" w:rsidP="00000000" w:rsidRDefault="00000000" w:rsidRPr="00000000" w14:paraId="00000290">
            <w:pPr>
              <w:jc w:val="center"/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color w:val="000000"/>
                <w:sz w:val="16"/>
                <w:szCs w:val="16"/>
                <w:rtl w:val="0"/>
              </w:rPr>
              <w:t xml:space="preserve">197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color w:val="000000"/>
                <w:sz w:val="16"/>
                <w:szCs w:val="16"/>
                <w:rtl w:val="0"/>
              </w:rPr>
              <w:t xml:space="preserve">N/A</w:t>
            </w:r>
          </w:p>
        </w:tc>
      </w:tr>
    </w:tbl>
    <w:p w:rsidR="00000000" w:rsidDel="00000000" w:rsidP="00000000" w:rsidRDefault="00000000" w:rsidRPr="00000000" w14:paraId="00000292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rPr>
          <w:rFonts w:ascii="Century Gothic" w:cs="Century Gothic" w:eastAsia="Century Gothic" w:hAnsi="Century Gothic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jc w:val="center"/>
        <w:rPr>
          <w:rFonts w:ascii="Century Gothic" w:cs="Century Gothic" w:eastAsia="Century Gothic" w:hAnsi="Century Gothic"/>
          <w:b w:val="1"/>
          <w:color w:val="ff0000"/>
          <w:sz w:val="22"/>
          <w:szCs w:val="2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22"/>
          <w:szCs w:val="22"/>
          <w:rtl w:val="0"/>
        </w:rPr>
        <w:t xml:space="preserve">*SÓLO ADULTOS +18 AÑOS*</w:t>
      </w:r>
    </w:p>
    <w:p w:rsidR="00000000" w:rsidDel="00000000" w:rsidP="00000000" w:rsidRDefault="00000000" w:rsidRPr="00000000" w14:paraId="00000295">
      <w:pPr>
        <w:spacing w:line="276" w:lineRule="auto"/>
        <w:jc w:val="center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highlight w:val="yellow"/>
          <w:rtl w:val="0"/>
        </w:rPr>
        <w:t xml:space="preserve">Precios sujetos a cambios y disponibilidad hasta el momento de la reserva.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line="276" w:lineRule="auto"/>
        <w:ind w:left="-426" w:firstLine="0"/>
        <w:rPr>
          <w:rFonts w:ascii="Century Gothic" w:cs="Century Gothic" w:eastAsia="Century Gothic" w:hAnsi="Century Gothic"/>
          <w:b w:val="1"/>
          <w:color w:val="ff0000"/>
          <w:sz w:val="18"/>
          <w:szCs w:val="18"/>
          <w:highlight w:val="yellow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color w:val="ff0000"/>
          <w:sz w:val="18"/>
          <w:szCs w:val="18"/>
          <w:highlight w:val="yellow"/>
          <w:rtl w:val="0"/>
        </w:rPr>
        <w:t xml:space="preserve">NOTA IMPORTANTE: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426" w:right="-738" w:firstLine="0"/>
        <w:jc w:val="left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Declaración electrónica para pasajeros viajando hacia Punta Cana,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Para conocer más sobre políticas y procedimientos, noticias, productos destacados y realizar solicitudes de servicio visite nuestro Portal de Agencias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hyperlink r:id="rId8">
        <w:r w:rsidDel="00000000" w:rsidR="00000000" w:rsidRPr="00000000">
          <w:rPr>
            <w:rFonts w:ascii="Century Gothic" w:cs="Century Gothic" w:eastAsia="Century Gothic" w:hAnsi="Century Gothic"/>
            <w:b w:val="0"/>
            <w:i w:val="0"/>
            <w:smallCaps w:val="0"/>
            <w:strike w:val="0"/>
            <w:color w:val="0563c1"/>
            <w:sz w:val="16"/>
            <w:szCs w:val="16"/>
            <w:u w:val="single"/>
            <w:shd w:fill="auto" w:val="clear"/>
            <w:vertAlign w:val="baseline"/>
            <w:rtl w:val="0"/>
          </w:rPr>
          <w:t xml:space="preserve">https://eticket.migracion.gob.do/</w:t>
        </w:r>
      </w:hyperlink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-284" w:right="0" w:hanging="141.99999999999994"/>
        <w:jc w:val="left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highlight w:val="yellow"/>
          <w:u w:val="none"/>
          <w:vertAlign w:val="baseline"/>
          <w:rtl w:val="0"/>
        </w:rPr>
        <w:t xml:space="preserve">Se requiere tener certificado y vacuna de la fiebre amarilla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Tarjetas que aplican: B. Pichincha (VISA, MASTERCARD, DINERS) B. Guayaquil, B. Pacifico.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Traslados nocturnos y de madrugada aplican recargos.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Check in 15h00 – check out 11h00 am horarios sujetos a cambios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Algunos htls en destino se reservan el derecho de cobrar o no FEE RESORT.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orden de las excursiones puede ser alterado para un mejor desarrollo del programa.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No aplica para Navidad, Fin de Año, Carnaval, eventos, convenciones, feriados y fiestas en destino.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El horario de desayuno varía de acuerdo al Hotel. Si su vuelo sale antes de las 08:00, podría acceder a un desayuno, siempre y cuando el htl tuviera esta opción. Caso contrario lo perderá, considerando que los traslados para vuelos internacionales son realizados 04 o 05 horas de antelación.         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Es responsabilidad de los pasajeros tener en </w:t>
      </w: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ORDEN</w:t>
      </w: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vigente pasaporte, visados, vacuna de fiebre amarilla u otra documentación si el país de destino lo exige.</w:t>
      </w:r>
    </w:p>
    <w:p w:rsidR="00000000" w:rsidDel="00000000" w:rsidP="00000000" w:rsidRDefault="00000000" w:rsidRPr="00000000" w14:paraId="000002A1">
      <w:pPr>
        <w:spacing w:line="276" w:lineRule="auto"/>
        <w:ind w:left="-426" w:firstLine="0"/>
        <w:rPr>
          <w:rFonts w:ascii="Century Gothic" w:cs="Century Gothic" w:eastAsia="Century Gothic" w:hAnsi="Century Gothic"/>
          <w:b w:val="1"/>
          <w:sz w:val="18"/>
          <w:szCs w:val="1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18"/>
          <w:szCs w:val="18"/>
          <w:rtl w:val="0"/>
        </w:rPr>
        <w:t xml:space="preserve">PRECIO NO INCLUYE: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Boletos Aereos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OTRO SERVICIO NO DETALLADO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284" w:right="0" w:hanging="141.99999999999994"/>
        <w:jc w:val="both"/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Servicios o excursiones no especificados en el programa.</w:t>
      </w:r>
    </w:p>
    <w:p w:rsidR="00000000" w:rsidDel="00000000" w:rsidP="00000000" w:rsidRDefault="00000000" w:rsidRPr="00000000" w14:paraId="000002A5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794" w:top="1440" w:left="1077" w:right="1077" w:header="1814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entury Gothic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-886" w:firstLine="0"/>
      <w:jc w:val="right"/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Fonts w:ascii="Century Gothic" w:cs="Century Gothic" w:eastAsia="Century Gothic" w:hAnsi="Century Gothic"/>
        <w:b w:val="1"/>
        <w:i w:val="0"/>
        <w:smallCaps w:val="0"/>
        <w:strike w:val="0"/>
        <w:color w:val="000000"/>
        <w:sz w:val="18"/>
        <w:szCs w:val="18"/>
        <w:highlight w:val="green"/>
        <w:u w:val="none"/>
        <w:vertAlign w:val="baseline"/>
        <w:rtl w:val="0"/>
      </w:rPr>
      <w:t xml:space="preserve">ACT: 13/01/2025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-683894</wp:posOffset>
          </wp:positionH>
          <wp:positionV relativeFrom="paragraph">
            <wp:posOffset>4832</wp:posOffset>
          </wp:positionV>
          <wp:extent cx="7548182" cy="580980"/>
          <wp:effectExtent b="0" l="0" r="0" t="0"/>
          <wp:wrapNone/>
          <wp:docPr id="205357310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8182" cy="58098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-683894</wp:posOffset>
          </wp:positionH>
          <wp:positionV relativeFrom="paragraph">
            <wp:posOffset>-1151889</wp:posOffset>
          </wp:positionV>
          <wp:extent cx="7547030" cy="1324610"/>
          <wp:effectExtent b="0" l="0" r="0" t="0"/>
          <wp:wrapNone/>
          <wp:docPr id="205357310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7030" cy="13246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2"/>
      <w:numFmt w:val="bullet"/>
      <w:lvlText w:val="•"/>
      <w:lvlJc w:val="left"/>
      <w:pPr>
        <w:ind w:left="720" w:hanging="360"/>
      </w:pPr>
      <w:rPr>
        <w:rFonts w:ascii="Century Gothic" w:cs="Century Gothic" w:eastAsia="Century Gothic" w:hAnsi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P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</w:pPr>
    <w:rPr>
      <w:rFonts w:ascii="Calibri" w:cs="Calibri" w:eastAsia="Calibri" w:hAnsi="Calibri"/>
      <w:b w:val="1"/>
      <w:color w:val="990000"/>
      <w:sz w:val="36"/>
      <w:szCs w:val="36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B9345E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s-ES" w:val="es-PE"/>
    </w:rPr>
  </w:style>
  <w:style w:type="paragraph" w:styleId="Ttulo2">
    <w:name w:val="heading 2"/>
    <w:basedOn w:val="Normal"/>
    <w:next w:val="Normal"/>
    <w:link w:val="Ttulo2Car"/>
    <w:semiHidden w:val="1"/>
    <w:unhideWhenUsed w:val="1"/>
    <w:qFormat w:val="1"/>
    <w:rsid w:val="00CE62FA"/>
    <w:pPr>
      <w:keepNext w:val="1"/>
      <w:outlineLvl w:val="1"/>
    </w:pPr>
    <w:rPr>
      <w:rFonts w:asciiTheme="minorHAnsi" w:hAnsiTheme="minorHAnsi"/>
      <w:b w:val="1"/>
      <w:color w:val="990000"/>
      <w:sz w:val="36"/>
      <w:szCs w:val="20"/>
      <w:u w:val="single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semiHidden w:val="1"/>
    <w:rsid w:val="00CE62FA"/>
    <w:rPr>
      <w:rFonts w:cs="Times New Roman" w:eastAsia="Times New Roman"/>
      <w:b w:val="1"/>
      <w:color w:val="990000"/>
      <w:sz w:val="36"/>
      <w:szCs w:val="20"/>
      <w:u w:val="single"/>
      <w:lang w:eastAsia="es-ES" w:val="es-PE"/>
    </w:rPr>
  </w:style>
  <w:style w:type="table" w:styleId="Tablaconcuadrcula4-nfasis6">
    <w:name w:val="Grid Table 4 Accent 6"/>
    <w:basedOn w:val="Tablanormal"/>
    <w:uiPriority w:val="49"/>
    <w:rsid w:val="002F748A"/>
    <w:pPr>
      <w:spacing w:after="0" w:line="240" w:lineRule="auto"/>
    </w:pPr>
    <w:tblPr>
      <w:tblStyleRowBandSize w:val="1"/>
      <w:tblStyleColBandSize w:val="1"/>
      <w:tblBorders>
        <w:top w:color="a8d08d" w:space="0" w:sz="4" w:themeColor="accent6" w:themeTint="000099" w:val="single"/>
        <w:left w:color="a8d08d" w:space="0" w:sz="4" w:themeColor="accent6" w:themeTint="000099" w:val="single"/>
        <w:bottom w:color="a8d08d" w:space="0" w:sz="4" w:themeColor="accent6" w:themeTint="000099" w:val="single"/>
        <w:right w:color="a8d08d" w:space="0" w:sz="4" w:themeColor="accent6" w:themeTint="000099" w:val="single"/>
        <w:insideH w:color="a8d08d" w:space="0" w:sz="4" w:themeColor="accent6" w:themeTint="000099" w:val="single"/>
        <w:insideV w:color="a8d08d" w:space="0" w:sz="4" w:themeColor="accent6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70ad47" w:space="0" w:sz="4" w:themeColor="accent6" w:val="single"/>
          <w:left w:color="70ad47" w:space="0" w:sz="4" w:themeColor="accent6" w:val="single"/>
          <w:bottom w:color="70ad47" w:space="0" w:sz="4" w:themeColor="accent6" w:val="single"/>
          <w:right w:color="70ad47" w:space="0" w:sz="4" w:themeColor="accent6" w:val="single"/>
          <w:insideH w:space="0" w:sz="0" w:val="nil"/>
          <w:insideV w:space="0" w:sz="0" w:val="nil"/>
        </w:tcBorders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C901DC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C901DC"/>
    <w:rPr>
      <w:rFonts w:ascii="Times New Roman" w:cs="Times New Roman" w:eastAsia="Times New Roman" w:hAnsi="Times New Roman"/>
      <w:sz w:val="24"/>
      <w:szCs w:val="24"/>
      <w:lang w:eastAsia="es-ES" w:val="es-PE"/>
    </w:rPr>
  </w:style>
  <w:style w:type="paragraph" w:styleId="Piedepgina">
    <w:name w:val="footer"/>
    <w:basedOn w:val="Normal"/>
    <w:link w:val="PiedepginaCar"/>
    <w:uiPriority w:val="99"/>
    <w:unhideWhenUsed w:val="1"/>
    <w:rsid w:val="00C901DC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C901DC"/>
    <w:rPr>
      <w:rFonts w:ascii="Times New Roman" w:cs="Times New Roman" w:eastAsia="Times New Roman" w:hAnsi="Times New Roman"/>
      <w:sz w:val="24"/>
      <w:szCs w:val="24"/>
      <w:lang w:eastAsia="es-ES" w:val="es-PE"/>
    </w:rPr>
  </w:style>
  <w:style w:type="paragraph" w:styleId="Prrafodelista">
    <w:name w:val="List Paragraph"/>
    <w:basedOn w:val="Normal"/>
    <w:uiPriority w:val="34"/>
    <w:qFormat w:val="1"/>
    <w:rsid w:val="0044735E"/>
    <w:pPr>
      <w:ind w:left="720"/>
      <w:contextualSpacing w:val="1"/>
    </w:pPr>
  </w:style>
  <w:style w:type="table" w:styleId="Tabladelista3-nfasis6">
    <w:name w:val="List Table 3 Accent 6"/>
    <w:basedOn w:val="Tablanormal"/>
    <w:uiPriority w:val="48"/>
    <w:rsid w:val="0044735E"/>
    <w:pPr>
      <w:spacing w:after="0" w:line="240" w:lineRule="auto"/>
    </w:pPr>
    <w:tblPr>
      <w:tblStyleRowBandSize w:val="1"/>
      <w:tblStyleColBandSize w:val="1"/>
      <w:tblBorders>
        <w:top w:color="70ad47" w:space="0" w:sz="4" w:themeColor="accent6" w:val="single"/>
        <w:left w:color="70ad47" w:space="0" w:sz="4" w:themeColor="accent6" w:val="single"/>
        <w:bottom w:color="70ad47" w:space="0" w:sz="4" w:themeColor="accent6" w:val="single"/>
        <w:right w:color="70ad47" w:space="0" w:sz="4" w:themeColor="accent6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70ad47" w:themeFill="accent6" w:val="clear"/>
      </w:tcPr>
    </w:tblStylePr>
    <w:tblStylePr w:type="lastRow">
      <w:rPr>
        <w:b w:val="1"/>
        <w:bCs w:val="1"/>
      </w:rPr>
      <w:tblPr/>
      <w:tcPr>
        <w:tcBorders>
          <w:top w:color="70ad47" w:space="0" w:sz="4" w:themeColor="accent6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70ad47" w:space="0" w:sz="4" w:themeColor="accent6" w:val="single"/>
          <w:right w:color="70ad47" w:space="0" w:sz="4" w:themeColor="accent6" w:val="single"/>
        </w:tcBorders>
      </w:tcPr>
    </w:tblStylePr>
    <w:tblStylePr w:type="band1Horz">
      <w:tblPr/>
      <w:tcPr>
        <w:tcBorders>
          <w:top w:color="70ad47" w:space="0" w:sz="4" w:themeColor="accent6" w:val="single"/>
          <w:bottom w:color="70ad47" w:space="0" w:sz="4" w:themeColor="accent6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70ad47" w:space="0" w:sz="4" w:themeColor="accent6" w:val="double"/>
          <w:left w:space="0" w:sz="0" w:val="nil"/>
        </w:tcBorders>
      </w:tcPr>
    </w:tblStylePr>
    <w:tblStylePr w:type="swCell">
      <w:tblPr/>
      <w:tcPr>
        <w:tcBorders>
          <w:top w:color="70ad47" w:space="0" w:sz="4" w:themeColor="accent6" w:val="double"/>
          <w:right w:space="0" w:sz="0"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9E5A81"/>
    <w:pPr>
      <w:spacing w:after="0" w:line="240" w:lineRule="auto"/>
    </w:pPr>
    <w:tblPr>
      <w:tblStyleRowBandSize w:val="1"/>
      <w:tblStyleColBandSize w:val="1"/>
      <w:tblBorders>
        <w:top w:color="4472c4" w:space="0" w:sz="4" w:themeColor="accent1" w:val="single"/>
        <w:left w:color="4472c4" w:space="0" w:sz="4" w:themeColor="accent1" w:val="single"/>
        <w:bottom w:color="4472c4" w:space="0" w:sz="4" w:themeColor="accent1" w:val="single"/>
        <w:right w:color="4472c4" w:space="0" w:sz="4" w:themeColor="accent1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4472c4" w:space="0" w:sz="4" w:themeColor="accent1" w:val="single"/>
          <w:right w:color="4472c4" w:space="0" w:sz="4" w:themeColor="accent1" w:val="single"/>
        </w:tcBorders>
      </w:tcPr>
    </w:tblStylePr>
    <w:tblStylePr w:type="band1Horz">
      <w:tblPr/>
      <w:tcPr>
        <w:tcBorders>
          <w:top w:color="4472c4" w:space="0" w:sz="4" w:themeColor="accent1" w:val="single"/>
          <w:bottom w:color="4472c4" w:space="0" w:sz="4" w:themeColor="accent1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4472c4" w:space="0" w:sz="4" w:themeColor="accent1" w:val="double"/>
          <w:left w:space="0" w:sz="0" w:val="nil"/>
        </w:tcBorders>
      </w:tcPr>
    </w:tblStylePr>
    <w:tblStylePr w:type="swCell">
      <w:tblPr/>
      <w:tcPr>
        <w:tcBorders>
          <w:top w:color="4472c4" w:space="0" w:sz="4" w:themeColor="accent1" w:val="double"/>
          <w:right w:space="0" w:sz="0"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D86451"/>
    <w:pPr>
      <w:spacing w:after="0" w:line="240" w:lineRule="auto"/>
    </w:pPr>
    <w:tblPr>
      <w:tblStyleRowBandSize w:val="1"/>
      <w:tblStyleColBandSize w:val="1"/>
      <w:tblInd w:w="0.0" w:type="nil"/>
      <w:tblBorders>
        <w:top w:color="8eaadb" w:space="0" w:sz="4" w:themeColor="accent1" w:themeTint="000099" w:val="single"/>
        <w:left w:color="8eaadb" w:space="0" w:sz="4" w:themeColor="accent1" w:themeTint="000099" w:val="single"/>
        <w:bottom w:color="8eaadb" w:space="0" w:sz="4" w:themeColor="accent1" w:themeTint="000099" w:val="single"/>
        <w:right w:color="8eaadb" w:space="0" w:sz="4" w:themeColor="accent1" w:themeTint="000099" w:val="single"/>
        <w:insideH w:color="8eaadb" w:space="0" w:sz="4" w:themeColor="accent1" w:themeTint="000099" w:val="single"/>
        <w:insideV w:color="8eaadb" w:space="0" w:sz="4" w:themeColor="accen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1" w:val="single"/>
          <w:left w:color="4472c4" w:space="0" w:sz="4" w:themeColor="accent1" w:val="single"/>
          <w:bottom w:color="4472c4" w:space="0" w:sz="4" w:themeColor="accent1" w:val="single"/>
          <w:right w:color="4472c4" w:space="0" w:sz="4" w:themeColor="accent1" w:val="single"/>
          <w:insideH w:space="0" w:sz="0" w:val="nil"/>
          <w:insideV w:space="0" w:sz="0" w:val="nil"/>
        </w:tcBorders>
        <w:shd w:color="auto" w:fill="4472c4" w:themeFill="accent1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Tabladecuadrcula4">
    <w:name w:val="Grid Table 4"/>
    <w:basedOn w:val="Tablanormal"/>
    <w:uiPriority w:val="49"/>
    <w:rsid w:val="009B2F73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  <w:insideV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4">
    <w:name w:val="List Table 4"/>
    <w:basedOn w:val="Tablanormal"/>
    <w:uiPriority w:val="49"/>
    <w:rsid w:val="009815BD"/>
    <w:pPr>
      <w:spacing w:after="0" w:line="240" w:lineRule="auto"/>
    </w:pPr>
    <w:tblPr>
      <w:tblStyleRowBandSize w:val="1"/>
      <w:tblStyleColBandSize w:val="1"/>
      <w:tblBorders>
        <w:top w:color="666666" w:space="0" w:sz="4" w:themeColor="text1" w:themeTint="000099" w:val="single"/>
        <w:left w:color="666666" w:space="0" w:sz="4" w:themeColor="text1" w:themeTint="000099" w:val="single"/>
        <w:bottom w:color="666666" w:space="0" w:sz="4" w:themeColor="text1" w:themeTint="000099" w:val="single"/>
        <w:right w:color="666666" w:space="0" w:sz="4" w:themeColor="text1" w:themeTint="000099" w:val="single"/>
        <w:insideH w:color="666666" w:space="0" w:sz="4" w:themeColor="text1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000000" w:space="0" w:sz="4" w:themeColor="text1" w:val="single"/>
          <w:left w:color="000000" w:space="0" w:sz="4" w:themeColor="text1" w:val="single"/>
          <w:bottom w:color="000000" w:space="0" w:sz="4" w:themeColor="text1" w:val="single"/>
          <w:right w:color="000000" w:space="0" w:sz="4" w:themeColor="text1" w:val="single"/>
          <w:insideH w:space="0" w:sz="0" w:val="nil"/>
        </w:tcBorders>
        <w:shd w:color="auto" w:fill="000000" w:themeFill="text1" w:val="clear"/>
      </w:tcPr>
    </w:tblStylePr>
    <w:tblStylePr w:type="lastRow">
      <w:rPr>
        <w:b w:val="1"/>
        <w:bCs w:val="1"/>
      </w:rPr>
      <w:tblPr/>
      <w:tcPr>
        <w:tcBorders>
          <w:top w:color="666666" w:space="0" w:sz="4" w:themeColor="text1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5oscura-nfasis6">
    <w:name w:val="List Table 5 Dark Accent 6"/>
    <w:basedOn w:val="Tablanormal"/>
    <w:uiPriority w:val="50"/>
    <w:rsid w:val="003D638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70ad47" w:space="0" w:sz="24" w:themeColor="accent6" w:val="single"/>
        <w:left w:color="70ad47" w:space="0" w:sz="24" w:themeColor="accent6" w:val="single"/>
        <w:bottom w:color="70ad47" w:space="0" w:sz="24" w:themeColor="accent6" w:val="single"/>
        <w:right w:color="70ad47" w:space="0" w:sz="24" w:themeColor="accent6" w:val="single"/>
      </w:tblBorders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character" w:styleId="Hipervnculo">
    <w:name w:val="Hyperlink"/>
    <w:basedOn w:val="Fuentedeprrafopredeter"/>
    <w:uiPriority w:val="99"/>
    <w:unhideWhenUsed w:val="1"/>
    <w:rsid w:val="00BD010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BD010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  <w:tblStylePr w:type="band1Horz">
      <w:tcPr>
        <w:tcBorders>
          <w:top w:color="4472c4" w:space="0" w:sz="4" w:val="single"/>
          <w:bottom w:color="4472c4" w:space="0" w:sz="4" w:val="single"/>
          <w:insideH w:color="000000" w:space="0" w:sz="0" w:val="nil"/>
        </w:tcBorders>
      </w:tcPr>
    </w:tblStylePr>
    <w:tblStylePr w:type="band1Vert">
      <w:tcPr>
        <w:tcBorders>
          <w:left w:color="4472c4" w:space="0" w:sz="4" w:val="single"/>
          <w:right w:color="4472c4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4472c4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4472c4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4472c4" w:space="0" w:sz="4" w:val="single"/>
          <w:left w:color="000000" w:space="0" w:sz="0" w:val="nil"/>
        </w:tcBorders>
      </w:tcPr>
    </w:tblStylePr>
    <w:tblStylePr w:type="swCell">
      <w:tcPr>
        <w:tcBorders>
          <w:top w:color="4472c4" w:space="0" w:sz="4" w:val="single"/>
          <w:right w:color="000000" w:space="0" w:sz="0" w:val="nil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ffffff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  <w:tblStylePr w:type="band1Horz">
      <w:tcPr>
        <w:tcBorders>
          <w:top w:color="4472c4" w:space="0" w:sz="4" w:val="single"/>
          <w:bottom w:color="4472c4" w:space="0" w:sz="4" w:val="single"/>
          <w:insideH w:color="000000" w:space="0" w:sz="0" w:val="nil"/>
        </w:tcBorders>
      </w:tcPr>
    </w:tblStylePr>
    <w:tblStylePr w:type="band1Vert">
      <w:tcPr>
        <w:tcBorders>
          <w:left w:color="4472c4" w:space="0" w:sz="4" w:val="single"/>
          <w:right w:color="4472c4" w:space="0" w:sz="4" w:val="single"/>
        </w:tcBorders>
      </w:tcPr>
    </w:tblStylePr>
    <w:tblStylePr w:type="firstCol">
      <w:rPr>
        <w:b w:val="1"/>
      </w:rPr>
      <w:tcPr>
        <w:tcBorders>
          <w:right w:color="000000" w:space="0" w:sz="0" w:val="nil"/>
        </w:tcBorders>
        <w:shd w:fill="ffffff" w:val="clear"/>
      </w:tcPr>
    </w:tblStylePr>
    <w:tblStylePr w:type="firstRow">
      <w:rPr>
        <w:b w:val="1"/>
        <w:color w:val="ffffff"/>
      </w:rPr>
      <w:tcPr>
        <w:shd w:fill="4472c4" w:val="clear"/>
      </w:tcPr>
    </w:tblStylePr>
    <w:tblStylePr w:type="lastCol">
      <w:rPr>
        <w:b w:val="1"/>
      </w:rPr>
      <w:tcPr>
        <w:tcBorders>
          <w:left w:color="000000" w:space="0" w:sz="0" w:val="nil"/>
        </w:tcBorders>
        <w:shd w:fill="ffffff" w:val="clear"/>
      </w:tcPr>
    </w:tblStylePr>
    <w:tblStylePr w:type="lastRow">
      <w:rPr>
        <w:b w:val="1"/>
      </w:rPr>
      <w:tcPr>
        <w:tcBorders>
          <w:top w:color="4472c4" w:space="0" w:sz="4" w:val="single"/>
        </w:tcBorders>
        <w:shd w:fill="ffffff" w:val="clear"/>
      </w:tcPr>
    </w:tblStylePr>
    <w:tblStylePr w:type="neCell">
      <w:tcPr>
        <w:tcBorders>
          <w:left w:color="000000" w:space="0" w:sz="0" w:val="nil"/>
          <w:bottom w:color="000000" w:space="0" w:sz="0" w:val="nil"/>
        </w:tcBorders>
      </w:tcPr>
    </w:tblStylePr>
    <w:tblStylePr w:type="nwCell">
      <w:tcPr>
        <w:tcBorders>
          <w:bottom w:color="000000" w:space="0" w:sz="0" w:val="nil"/>
          <w:right w:color="000000" w:space="0" w:sz="0" w:val="nil"/>
        </w:tcBorders>
      </w:tcPr>
    </w:tblStylePr>
    <w:tblStylePr w:type="seCell">
      <w:tcPr>
        <w:tcBorders>
          <w:top w:color="4472c4" w:space="0" w:sz="4" w:val="single"/>
          <w:left w:color="000000" w:space="0" w:sz="0" w:val="nil"/>
        </w:tcBorders>
      </w:tcPr>
    </w:tblStylePr>
    <w:tblStylePr w:type="swCell">
      <w:tcPr>
        <w:tcBorders>
          <w:top w:color="4472c4" w:space="0" w:sz="4" w:val="single"/>
          <w:right w:color="000000" w:space="0" w:sz="0" w:val="nil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jpg"/><Relationship Id="rId8" Type="http://schemas.openxmlformats.org/officeDocument/2006/relationships/hyperlink" Target="https://eticket.migracion.gob.do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enturyGothic-regular.ttf"/><Relationship Id="rId4" Type="http://schemas.openxmlformats.org/officeDocument/2006/relationships/font" Target="fonts/CenturyGothic-bold.ttf"/><Relationship Id="rId5" Type="http://schemas.openxmlformats.org/officeDocument/2006/relationships/font" Target="fonts/CenturyGothic-italic.ttf"/><Relationship Id="rId6" Type="http://schemas.openxmlformats.org/officeDocument/2006/relationships/font" Target="fonts/CenturyGothic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zBcE5SwHMRZR0A4Kha9z2j9mAQ==">CgMxLjAyCGguZ2pkZ3hzMgloLjMwajB6bGw4AHIhMS1TQWZQbzdEbjFWQlN6TU1jZGh1UHpWOE9aOTJ3QXJt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2025-01-14T16:13:00Z</dcterms:created>
  <dc:creator>A3LM</dc:creator>
</cp:coreProperties>
</file>